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5F9C9" w14:textId="11FC810B" w:rsidR="00EF005F" w:rsidRPr="00080278" w:rsidRDefault="00EF005F" w:rsidP="00EF005F">
      <w:pPr>
        <w:pStyle w:val="Heading1"/>
        <w:jc w:val="center"/>
        <w:rPr>
          <w:sz w:val="28"/>
          <w:szCs w:val="28"/>
        </w:rPr>
      </w:pPr>
      <w:r w:rsidRPr="00080278">
        <w:rPr>
          <w:sz w:val="28"/>
          <w:szCs w:val="28"/>
        </w:rPr>
        <w:t>Non-Financial Reporting Directive (NFRD) - Submission Supplement</w:t>
      </w:r>
    </w:p>
    <w:p w14:paraId="2E6667CD" w14:textId="77777777" w:rsidR="003B5FCC" w:rsidRPr="00080278" w:rsidRDefault="003B5FCC"/>
    <w:p w14:paraId="1EF40164" w14:textId="35DB16A0" w:rsidR="00EF005F" w:rsidRPr="00080278" w:rsidRDefault="00AB4C4A" w:rsidP="00EF005F">
      <w:r>
        <w:rPr>
          <w:lang w:eastAsia="en-US"/>
        </w:rPr>
        <w:t xml:space="preserve">Social Value UK (SVUK) </w:t>
      </w:r>
      <w:r w:rsidR="00EF005F" w:rsidRPr="00080278">
        <w:rPr>
          <w:lang w:eastAsia="en-US"/>
        </w:rPr>
        <w:t xml:space="preserve">participated in collaborative discussions with </w:t>
      </w:r>
      <w:r>
        <w:rPr>
          <w:lang w:eastAsia="en-US"/>
        </w:rPr>
        <w:t xml:space="preserve">our membership (approximately 30 </w:t>
      </w:r>
      <w:r w:rsidR="00EF005F" w:rsidRPr="00080278">
        <w:rPr>
          <w:lang w:eastAsia="en-US"/>
        </w:rPr>
        <w:t>organisations</w:t>
      </w:r>
      <w:r>
        <w:rPr>
          <w:lang w:eastAsia="en-US"/>
        </w:rPr>
        <w:t xml:space="preserve"> participated)</w:t>
      </w:r>
      <w:r w:rsidR="00EF005F" w:rsidRPr="00080278">
        <w:rPr>
          <w:lang w:eastAsia="en-US"/>
        </w:rPr>
        <w:t xml:space="preserve"> regarding the update to the NFRD. This document serves as a supplement to </w:t>
      </w:r>
      <w:r>
        <w:rPr>
          <w:lang w:eastAsia="en-US"/>
        </w:rPr>
        <w:t>SVUK</w:t>
      </w:r>
      <w:r w:rsidR="00EF005F" w:rsidRPr="00080278">
        <w:rPr>
          <w:lang w:eastAsia="en-US"/>
        </w:rPr>
        <w:t xml:space="preserve">’s </w:t>
      </w:r>
      <w:r>
        <w:rPr>
          <w:lang w:eastAsia="en-US"/>
        </w:rPr>
        <w:t>survey</w:t>
      </w:r>
      <w:r w:rsidR="00EF005F" w:rsidRPr="00080278">
        <w:rPr>
          <w:lang w:eastAsia="en-US"/>
        </w:rPr>
        <w:t xml:space="preserve"> submission and highlights four key messages and some aligned recommendations.</w:t>
      </w:r>
      <w:r>
        <w:rPr>
          <w:lang w:eastAsia="en-US"/>
        </w:rPr>
        <w:t xml:space="preserve"> This has been done in collaboration with our parent organisation Social Value International.</w:t>
      </w:r>
    </w:p>
    <w:p w14:paraId="5F17B31E" w14:textId="77777777" w:rsidR="003B5FCC" w:rsidRPr="00080278" w:rsidRDefault="003B5FCC"/>
    <w:p w14:paraId="7D41B330" w14:textId="15570241" w:rsidR="003B5FCC" w:rsidRPr="00080278" w:rsidRDefault="006A28A1">
      <w:r w:rsidRPr="00080278">
        <w:t>Top 4 messages:</w:t>
      </w:r>
    </w:p>
    <w:p w14:paraId="5C843F28" w14:textId="132808D3" w:rsidR="003B5FCC" w:rsidRPr="00080278" w:rsidRDefault="006A28A1">
      <w:pPr>
        <w:numPr>
          <w:ilvl w:val="0"/>
          <w:numId w:val="1"/>
        </w:numPr>
        <w:shd w:val="clear" w:color="auto" w:fill="FFFFFF"/>
        <w:rPr>
          <w:color w:val="222222"/>
        </w:rPr>
      </w:pPr>
      <w:r w:rsidRPr="00080278">
        <w:rPr>
          <w:b/>
          <w:color w:val="222222"/>
        </w:rPr>
        <w:t>Assurance</w:t>
      </w:r>
      <w:r w:rsidR="006A2664">
        <w:rPr>
          <w:b/>
          <w:color w:val="222222"/>
        </w:rPr>
        <w:t xml:space="preserve"> </w:t>
      </w:r>
      <w:r w:rsidR="006A2664" w:rsidRPr="006A2664">
        <w:rPr>
          <w:bCs/>
          <w:color w:val="222222"/>
        </w:rPr>
        <w:t>of non-financial reporting</w:t>
      </w:r>
      <w:r w:rsidRPr="00080278">
        <w:rPr>
          <w:b/>
          <w:color w:val="222222"/>
        </w:rPr>
        <w:t xml:space="preserve"> </w:t>
      </w:r>
      <w:r w:rsidRPr="00080278">
        <w:rPr>
          <w:color w:val="222222"/>
        </w:rPr>
        <w:t xml:space="preserve">is </w:t>
      </w:r>
      <w:r w:rsidR="006A2664">
        <w:rPr>
          <w:color w:val="222222"/>
        </w:rPr>
        <w:t>essential</w:t>
      </w:r>
      <w:r w:rsidRPr="00080278">
        <w:rPr>
          <w:color w:val="222222"/>
        </w:rPr>
        <w:t xml:space="preserve"> for </w:t>
      </w:r>
      <w:r w:rsidR="006A2664">
        <w:rPr>
          <w:color w:val="222222"/>
        </w:rPr>
        <w:t xml:space="preserve">the </w:t>
      </w:r>
      <w:r w:rsidRPr="00080278">
        <w:rPr>
          <w:color w:val="222222"/>
        </w:rPr>
        <w:t xml:space="preserve">credibility and usefulness of the data. Scrutiny of </w:t>
      </w:r>
      <w:r w:rsidR="00EF005F" w:rsidRPr="00080278">
        <w:rPr>
          <w:color w:val="222222"/>
        </w:rPr>
        <w:t>non-financial</w:t>
      </w:r>
      <w:r w:rsidRPr="00080278">
        <w:rPr>
          <w:color w:val="222222"/>
        </w:rPr>
        <w:t xml:space="preserve"> information should be equal to that applied for financial information. Non-financial information should be presented alongside financial information, any separation increases the likelihood of it not informing decisions. Assurers should be independent and yet be knowledgeable enough to challenge professional judgements over ‘dual materiality’.</w:t>
      </w:r>
    </w:p>
    <w:p w14:paraId="5877D226" w14:textId="7D873D75" w:rsidR="003B5FCC" w:rsidRPr="00080278" w:rsidRDefault="006A28A1">
      <w:pPr>
        <w:numPr>
          <w:ilvl w:val="0"/>
          <w:numId w:val="1"/>
        </w:numPr>
        <w:shd w:val="clear" w:color="auto" w:fill="FFFFFF"/>
        <w:rPr>
          <w:color w:val="222222"/>
        </w:rPr>
      </w:pPr>
      <w:r w:rsidRPr="00080278">
        <w:rPr>
          <w:b/>
          <w:color w:val="222222"/>
        </w:rPr>
        <w:t xml:space="preserve">Materiality </w:t>
      </w:r>
      <w:r w:rsidRPr="00080278">
        <w:rPr>
          <w:color w:val="222222"/>
        </w:rPr>
        <w:t xml:space="preserve">positions and the process for determining what </w:t>
      </w:r>
      <w:r w:rsidR="006A2664">
        <w:rPr>
          <w:color w:val="222222"/>
        </w:rPr>
        <w:t>impacts are</w:t>
      </w:r>
      <w:r w:rsidRPr="00080278">
        <w:rPr>
          <w:color w:val="222222"/>
        </w:rPr>
        <w:t xml:space="preserve"> included in reports should be disclosed in all non-financial reporting with explicit reference to the dual approaches to materiality.</w:t>
      </w:r>
      <w:r w:rsidR="006A2664">
        <w:rPr>
          <w:color w:val="222222"/>
        </w:rPr>
        <w:t xml:space="preserve"> Ideally, organisations should include all impacts that matter to all people (who are impacted) regardless of whether the impacts are financially material to the organisation.</w:t>
      </w:r>
    </w:p>
    <w:p w14:paraId="07C5D5DF" w14:textId="33F03BC2" w:rsidR="003B5FCC" w:rsidRPr="00080278" w:rsidRDefault="006A28A1">
      <w:pPr>
        <w:numPr>
          <w:ilvl w:val="0"/>
          <w:numId w:val="1"/>
        </w:numPr>
        <w:shd w:val="clear" w:color="auto" w:fill="FFFFFF"/>
        <w:rPr>
          <w:color w:val="222222"/>
        </w:rPr>
      </w:pPr>
      <w:r w:rsidRPr="00080278">
        <w:rPr>
          <w:color w:val="222222"/>
        </w:rPr>
        <w:t xml:space="preserve">The </w:t>
      </w:r>
      <w:r w:rsidRPr="00080278">
        <w:rPr>
          <w:b/>
          <w:color w:val="222222"/>
        </w:rPr>
        <w:t xml:space="preserve">scope </w:t>
      </w:r>
      <w:r w:rsidRPr="00080278">
        <w:rPr>
          <w:color w:val="222222"/>
        </w:rPr>
        <w:t xml:space="preserve">of the </w:t>
      </w:r>
      <w:r w:rsidR="00EF005F" w:rsidRPr="00080278">
        <w:rPr>
          <w:color w:val="222222"/>
        </w:rPr>
        <w:t>Non-Financial</w:t>
      </w:r>
      <w:r w:rsidRPr="00080278">
        <w:rPr>
          <w:color w:val="222222"/>
        </w:rPr>
        <w:t xml:space="preserve"> Reporting Directive should be widened to include small and medium sized companies </w:t>
      </w:r>
      <w:r w:rsidR="00EF005F" w:rsidRPr="00080278">
        <w:rPr>
          <w:color w:val="222222"/>
        </w:rPr>
        <w:t>(fewer than 250 employees and either a turnover of up to €50 million or a balance sheet total of up to €43 million)</w:t>
      </w:r>
      <w:r w:rsidRPr="00080278">
        <w:rPr>
          <w:color w:val="222222"/>
        </w:rPr>
        <w:t xml:space="preserve"> as well as subsidiaries.</w:t>
      </w:r>
    </w:p>
    <w:p w14:paraId="4BAA8C3A" w14:textId="64C76CB0" w:rsidR="003B5FCC" w:rsidRPr="00080278" w:rsidRDefault="00EF005F">
      <w:pPr>
        <w:numPr>
          <w:ilvl w:val="0"/>
          <w:numId w:val="1"/>
        </w:numPr>
        <w:shd w:val="clear" w:color="auto" w:fill="FFFFFF"/>
        <w:rPr>
          <w:color w:val="222222"/>
        </w:rPr>
      </w:pPr>
      <w:r w:rsidRPr="00080278">
        <w:rPr>
          <w:b/>
          <w:bCs/>
          <w:color w:val="222222"/>
        </w:rPr>
        <w:t>Reform of accounting standards.</w:t>
      </w:r>
      <w:r w:rsidRPr="00080278">
        <w:rPr>
          <w:color w:val="222222"/>
        </w:rPr>
        <w:t xml:space="preserve"> </w:t>
      </w:r>
      <w:r w:rsidR="006A28A1" w:rsidRPr="00080278">
        <w:rPr>
          <w:color w:val="222222"/>
        </w:rPr>
        <w:t xml:space="preserve">Reporting disclosures are important but should be linked to a reform of accounting standards that integrate non-financial impacts onto the balance sheet. This will help root the information in business management practice and </w:t>
      </w:r>
      <w:r w:rsidR="006A2664">
        <w:rPr>
          <w:color w:val="222222"/>
        </w:rPr>
        <w:t xml:space="preserve">operational </w:t>
      </w:r>
      <w:r w:rsidR="006A28A1" w:rsidRPr="00080278">
        <w:rPr>
          <w:color w:val="222222"/>
        </w:rPr>
        <w:t>decision making.</w:t>
      </w:r>
    </w:p>
    <w:p w14:paraId="68D25A18" w14:textId="77777777" w:rsidR="003B5FCC" w:rsidRPr="00080278" w:rsidRDefault="003B5FCC">
      <w:pPr>
        <w:shd w:val="clear" w:color="auto" w:fill="FFFFFF"/>
        <w:rPr>
          <w:color w:val="222222"/>
        </w:rPr>
      </w:pPr>
    </w:p>
    <w:p w14:paraId="68D7406E" w14:textId="77777777" w:rsidR="003B5FCC" w:rsidRPr="00080278" w:rsidRDefault="006A28A1">
      <w:pPr>
        <w:shd w:val="clear" w:color="auto" w:fill="FFFFFF"/>
        <w:rPr>
          <w:color w:val="222222"/>
        </w:rPr>
      </w:pPr>
      <w:r w:rsidRPr="00080278">
        <w:rPr>
          <w:color w:val="222222"/>
        </w:rPr>
        <w:t xml:space="preserve">A table below </w:t>
      </w:r>
      <w:proofErr w:type="spellStart"/>
      <w:r w:rsidRPr="00080278">
        <w:rPr>
          <w:color w:val="222222"/>
        </w:rPr>
        <w:t>summarises</w:t>
      </w:r>
      <w:proofErr w:type="spellEnd"/>
      <w:r w:rsidRPr="00080278">
        <w:rPr>
          <w:color w:val="222222"/>
        </w:rPr>
        <w:t xml:space="preserve"> some of the other key points made in relation to each of the eight sections. We look forward to seeing the results of this review.</w:t>
      </w:r>
    </w:p>
    <w:p w14:paraId="24CFA384" w14:textId="77777777" w:rsidR="003B5FCC" w:rsidRPr="00080278" w:rsidRDefault="003B5FCC">
      <w:pPr>
        <w:shd w:val="clear" w:color="auto" w:fill="FFFFFF"/>
        <w:rPr>
          <w:color w:val="222222"/>
        </w:rPr>
      </w:pPr>
    </w:p>
    <w:p w14:paraId="4CC0B37A" w14:textId="51A17F97" w:rsidR="003B5FCC" w:rsidRDefault="006A28A1">
      <w:pPr>
        <w:shd w:val="clear" w:color="auto" w:fill="FFFFFF"/>
        <w:rPr>
          <w:color w:val="222222"/>
        </w:rPr>
      </w:pPr>
      <w:r w:rsidRPr="00080278">
        <w:rPr>
          <w:color w:val="222222"/>
        </w:rPr>
        <w:t>Your Sincerely</w:t>
      </w:r>
      <w:r w:rsidR="006A2664">
        <w:rPr>
          <w:color w:val="222222"/>
        </w:rPr>
        <w:t>,</w:t>
      </w:r>
    </w:p>
    <w:p w14:paraId="0B98395B" w14:textId="69DD12E0" w:rsidR="00080278" w:rsidRDefault="00080278">
      <w:pPr>
        <w:shd w:val="clear" w:color="auto" w:fill="FFFFFF"/>
        <w:rPr>
          <w:color w:val="222222"/>
        </w:rPr>
      </w:pPr>
    </w:p>
    <w:p w14:paraId="612A0BC4" w14:textId="7D66D38C" w:rsidR="00080278" w:rsidRPr="00080278" w:rsidRDefault="00AB4C4A">
      <w:pPr>
        <w:shd w:val="clear" w:color="auto" w:fill="FFFFFF"/>
        <w:rPr>
          <w:color w:val="222222"/>
        </w:rPr>
      </w:pPr>
      <w:r>
        <w:rPr>
          <w:noProof/>
          <w:color w:val="222222"/>
        </w:rPr>
        <w:drawing>
          <wp:inline distT="0" distB="0" distL="0" distR="0" wp14:anchorId="6CCE9A6B" wp14:editId="3FBA3CEF">
            <wp:extent cx="1924050" cy="73342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24050" cy="733425"/>
                    </a:xfrm>
                    <a:prstGeom prst="rect">
                      <a:avLst/>
                    </a:prstGeom>
                  </pic:spPr>
                </pic:pic>
              </a:graphicData>
            </a:graphic>
          </wp:inline>
        </w:drawing>
      </w:r>
    </w:p>
    <w:p w14:paraId="17B235D3" w14:textId="77777777" w:rsidR="003B5FCC" w:rsidRPr="00080278" w:rsidRDefault="003B5FCC">
      <w:pPr>
        <w:shd w:val="clear" w:color="auto" w:fill="FFFFFF"/>
        <w:rPr>
          <w:color w:val="222222"/>
        </w:rPr>
      </w:pPr>
    </w:p>
    <w:p w14:paraId="2AC7A5B6" w14:textId="69482347" w:rsidR="003B5FCC" w:rsidRPr="00AB4C4A" w:rsidRDefault="00AB4C4A">
      <w:pPr>
        <w:shd w:val="clear" w:color="auto" w:fill="FFFFFF"/>
        <w:rPr>
          <w:color w:val="222222"/>
        </w:rPr>
      </w:pPr>
      <w:r w:rsidRPr="00AB4C4A">
        <w:rPr>
          <w:color w:val="222222"/>
        </w:rPr>
        <w:t>Ben Carpenter</w:t>
      </w:r>
    </w:p>
    <w:p w14:paraId="24D329E7" w14:textId="0750FF82" w:rsidR="00080278" w:rsidRPr="00AB4C4A" w:rsidRDefault="00AB4C4A">
      <w:pPr>
        <w:shd w:val="clear" w:color="auto" w:fill="FFFFFF"/>
        <w:rPr>
          <w:color w:val="222222"/>
        </w:rPr>
      </w:pPr>
      <w:r w:rsidRPr="00AB4C4A">
        <w:rPr>
          <w:color w:val="222222"/>
        </w:rPr>
        <w:t>CEO</w:t>
      </w:r>
    </w:p>
    <w:p w14:paraId="02FC03AC" w14:textId="30FFB81D" w:rsidR="003B5FCC" w:rsidRPr="00080278" w:rsidRDefault="00AB4C4A">
      <w:pPr>
        <w:shd w:val="clear" w:color="auto" w:fill="FFFFFF"/>
        <w:rPr>
          <w:color w:val="222222"/>
        </w:rPr>
      </w:pPr>
      <w:r w:rsidRPr="00AB4C4A">
        <w:rPr>
          <w:color w:val="222222"/>
        </w:rPr>
        <w:t>Social Value UK</w:t>
      </w:r>
    </w:p>
    <w:p w14:paraId="19259589" w14:textId="77777777" w:rsidR="003B5FCC" w:rsidRPr="00080278" w:rsidRDefault="006A28A1">
      <w:pPr>
        <w:shd w:val="clear" w:color="auto" w:fill="FFFFFF"/>
        <w:rPr>
          <w:color w:val="222222"/>
        </w:rPr>
      </w:pPr>
      <w:r w:rsidRPr="00080278">
        <w:br w:type="page"/>
      </w:r>
    </w:p>
    <w:p w14:paraId="51E65727" w14:textId="77777777" w:rsidR="003B5FCC" w:rsidRPr="00080278" w:rsidRDefault="006A28A1">
      <w:pPr>
        <w:pStyle w:val="Heading2"/>
        <w:shd w:val="clear" w:color="auto" w:fill="FFFFFF"/>
      </w:pPr>
      <w:bookmarkStart w:id="0" w:name="_3do3e78akemw" w:colFirst="0" w:colLast="0"/>
      <w:bookmarkEnd w:id="0"/>
      <w:r w:rsidRPr="00080278">
        <w:lastRenderedPageBreak/>
        <w:t>Appendix: A summary of the key messages for each section:</w:t>
      </w:r>
    </w:p>
    <w:p w14:paraId="0CAA4E5C" w14:textId="77777777" w:rsidR="003B5FCC" w:rsidRPr="00080278" w:rsidRDefault="003B5FCC">
      <w:pPr>
        <w:shd w:val="clear" w:color="auto" w:fill="FFFFFF"/>
        <w:rPr>
          <w:color w:val="2222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3B5FCC" w:rsidRPr="00080278" w14:paraId="6DADF05D" w14:textId="77777777">
        <w:tc>
          <w:tcPr>
            <w:tcW w:w="2715" w:type="dxa"/>
            <w:shd w:val="clear" w:color="auto" w:fill="auto"/>
            <w:tcMar>
              <w:top w:w="100" w:type="dxa"/>
              <w:left w:w="100" w:type="dxa"/>
              <w:bottom w:w="100" w:type="dxa"/>
              <w:right w:w="100" w:type="dxa"/>
            </w:tcMar>
          </w:tcPr>
          <w:p w14:paraId="7C8CD511" w14:textId="77777777" w:rsidR="003B5FCC" w:rsidRPr="00080278" w:rsidRDefault="006A28A1">
            <w:pPr>
              <w:widowControl w:val="0"/>
              <w:pBdr>
                <w:top w:val="nil"/>
                <w:left w:val="nil"/>
                <w:bottom w:val="nil"/>
                <w:right w:val="nil"/>
                <w:between w:val="nil"/>
              </w:pBdr>
              <w:spacing w:line="240" w:lineRule="auto"/>
              <w:rPr>
                <w:color w:val="222222"/>
              </w:rPr>
            </w:pPr>
            <w:r w:rsidRPr="00080278">
              <w:rPr>
                <w:color w:val="222222"/>
              </w:rPr>
              <w:t>Section of the survey</w:t>
            </w:r>
          </w:p>
        </w:tc>
        <w:tc>
          <w:tcPr>
            <w:tcW w:w="6645" w:type="dxa"/>
            <w:shd w:val="clear" w:color="auto" w:fill="auto"/>
            <w:tcMar>
              <w:top w:w="100" w:type="dxa"/>
              <w:left w:w="100" w:type="dxa"/>
              <w:bottom w:w="100" w:type="dxa"/>
              <w:right w:w="100" w:type="dxa"/>
            </w:tcMar>
          </w:tcPr>
          <w:p w14:paraId="41D6EF7A" w14:textId="28EC44F0" w:rsidR="003B5FCC" w:rsidRPr="00080278" w:rsidRDefault="00080278">
            <w:pPr>
              <w:widowControl w:val="0"/>
              <w:pBdr>
                <w:top w:val="nil"/>
                <w:left w:val="nil"/>
                <w:bottom w:val="nil"/>
                <w:right w:val="nil"/>
                <w:between w:val="nil"/>
              </w:pBdr>
              <w:spacing w:line="240" w:lineRule="auto"/>
              <w:rPr>
                <w:color w:val="222222"/>
              </w:rPr>
            </w:pPr>
            <w:r w:rsidRPr="00080278">
              <w:rPr>
                <w:color w:val="222222"/>
              </w:rPr>
              <w:t>Key Recommendation</w:t>
            </w:r>
          </w:p>
        </w:tc>
      </w:tr>
      <w:tr w:rsidR="003B5FCC" w:rsidRPr="00080278" w14:paraId="29A0F377" w14:textId="77777777">
        <w:tc>
          <w:tcPr>
            <w:tcW w:w="2715" w:type="dxa"/>
            <w:shd w:val="clear" w:color="auto" w:fill="auto"/>
            <w:tcMar>
              <w:top w:w="100" w:type="dxa"/>
              <w:left w:w="100" w:type="dxa"/>
              <w:bottom w:w="100" w:type="dxa"/>
              <w:right w:w="100" w:type="dxa"/>
            </w:tcMar>
          </w:tcPr>
          <w:p w14:paraId="1F57EE5B" w14:textId="77777777" w:rsidR="003B5FCC" w:rsidRPr="00080278" w:rsidRDefault="006A28A1">
            <w:pPr>
              <w:shd w:val="clear" w:color="auto" w:fill="FFFFFF"/>
              <w:rPr>
                <w:color w:val="222222"/>
              </w:rPr>
            </w:pPr>
            <w:r w:rsidRPr="00080278">
              <w:rPr>
                <w:color w:val="222222"/>
              </w:rPr>
              <w:t xml:space="preserve">Section 2 - </w:t>
            </w:r>
            <w:proofErr w:type="spellStart"/>
            <w:r w:rsidRPr="00080278">
              <w:rPr>
                <w:color w:val="222222"/>
              </w:rPr>
              <w:t>Standardisation</w:t>
            </w:r>
            <w:proofErr w:type="spellEnd"/>
          </w:p>
          <w:p w14:paraId="0B5FEE1B" w14:textId="77777777" w:rsidR="003B5FCC" w:rsidRPr="00080278" w:rsidRDefault="003B5FCC">
            <w:pPr>
              <w:widowControl w:val="0"/>
              <w:pBdr>
                <w:top w:val="nil"/>
                <w:left w:val="nil"/>
                <w:bottom w:val="nil"/>
                <w:right w:val="nil"/>
                <w:between w:val="nil"/>
              </w:pBdr>
              <w:spacing w:line="240" w:lineRule="auto"/>
              <w:rPr>
                <w:color w:val="222222"/>
              </w:rPr>
            </w:pPr>
          </w:p>
        </w:tc>
        <w:tc>
          <w:tcPr>
            <w:tcW w:w="6645" w:type="dxa"/>
            <w:shd w:val="clear" w:color="auto" w:fill="auto"/>
            <w:tcMar>
              <w:top w:w="100" w:type="dxa"/>
              <w:left w:w="100" w:type="dxa"/>
              <w:bottom w:w="100" w:type="dxa"/>
              <w:right w:w="100" w:type="dxa"/>
            </w:tcMar>
          </w:tcPr>
          <w:p w14:paraId="5D9C433A" w14:textId="189946D1" w:rsidR="00080278" w:rsidRPr="00080278" w:rsidRDefault="00352527" w:rsidP="00352527">
            <w:pPr>
              <w:pStyle w:val="ListParagraph"/>
              <w:numPr>
                <w:ilvl w:val="0"/>
                <w:numId w:val="2"/>
              </w:numPr>
              <w:spacing w:line="240" w:lineRule="auto"/>
              <w:jc w:val="both"/>
            </w:pPr>
            <w:proofErr w:type="spellStart"/>
            <w:r>
              <w:t>S</w:t>
            </w:r>
            <w:r w:rsidR="006A28A1" w:rsidRPr="00080278">
              <w:t>tandardisation</w:t>
            </w:r>
            <w:proofErr w:type="spellEnd"/>
            <w:r w:rsidR="006A28A1" w:rsidRPr="00080278">
              <w:t xml:space="preserve"> should be informed by organisations identifying </w:t>
            </w:r>
            <w:r w:rsidR="00080278" w:rsidRPr="00080278">
              <w:t>impacts</w:t>
            </w:r>
            <w:r w:rsidR="006A28A1" w:rsidRPr="00080278">
              <w:t xml:space="preserve"> that are material to people and the planet even if these are not financially material to the business. </w:t>
            </w:r>
          </w:p>
          <w:p w14:paraId="01EAF3B0" w14:textId="77777777" w:rsidR="00080278" w:rsidRPr="00080278" w:rsidRDefault="00080278">
            <w:pPr>
              <w:spacing w:line="240" w:lineRule="auto"/>
              <w:jc w:val="both"/>
            </w:pPr>
          </w:p>
          <w:p w14:paraId="7A3E3B80" w14:textId="5B597009" w:rsidR="003B5FCC" w:rsidRPr="00080278" w:rsidRDefault="00080278" w:rsidP="00352527">
            <w:pPr>
              <w:pStyle w:val="ListParagraph"/>
              <w:numPr>
                <w:ilvl w:val="0"/>
                <w:numId w:val="2"/>
              </w:numPr>
              <w:spacing w:line="240" w:lineRule="auto"/>
              <w:jc w:val="both"/>
            </w:pPr>
            <w:r w:rsidRPr="00080278">
              <w:t xml:space="preserve">Ideally </w:t>
            </w:r>
            <w:r w:rsidR="00352527">
              <w:t xml:space="preserve">there should be </w:t>
            </w:r>
            <w:r w:rsidRPr="00080278">
              <w:t xml:space="preserve">less involvement </w:t>
            </w:r>
            <w:r w:rsidR="00352527">
              <w:t xml:space="preserve">in the </w:t>
            </w:r>
            <w:proofErr w:type="spellStart"/>
            <w:r w:rsidR="00352527">
              <w:t>standardisation</w:t>
            </w:r>
            <w:proofErr w:type="spellEnd"/>
            <w:r w:rsidR="00352527">
              <w:t xml:space="preserve"> process </w:t>
            </w:r>
            <w:r w:rsidRPr="00080278">
              <w:t xml:space="preserve">from investors and assurers, more involvement from </w:t>
            </w:r>
            <w:r w:rsidR="00352527">
              <w:t xml:space="preserve">organisations (including </w:t>
            </w:r>
            <w:r w:rsidRPr="00080278">
              <w:t>SME’s</w:t>
            </w:r>
            <w:r w:rsidR="00352527">
              <w:t>)</w:t>
            </w:r>
            <w:r w:rsidRPr="00080278">
              <w:t xml:space="preserve"> and representative bodies.</w:t>
            </w:r>
          </w:p>
          <w:p w14:paraId="0AB700A8" w14:textId="77777777" w:rsidR="003B5FCC" w:rsidRPr="00080278" w:rsidRDefault="003B5FCC" w:rsidP="00080278">
            <w:pPr>
              <w:spacing w:line="240" w:lineRule="auto"/>
              <w:jc w:val="both"/>
              <w:rPr>
                <w:color w:val="222222"/>
              </w:rPr>
            </w:pPr>
          </w:p>
        </w:tc>
      </w:tr>
      <w:tr w:rsidR="003B5FCC" w:rsidRPr="00080278" w14:paraId="722A18E8" w14:textId="77777777">
        <w:tc>
          <w:tcPr>
            <w:tcW w:w="2715" w:type="dxa"/>
            <w:shd w:val="clear" w:color="auto" w:fill="auto"/>
            <w:tcMar>
              <w:top w:w="100" w:type="dxa"/>
              <w:left w:w="100" w:type="dxa"/>
              <w:bottom w:w="100" w:type="dxa"/>
              <w:right w:w="100" w:type="dxa"/>
            </w:tcMar>
          </w:tcPr>
          <w:p w14:paraId="1EA8EC2E" w14:textId="77777777" w:rsidR="003B5FCC" w:rsidRPr="00080278" w:rsidRDefault="006A28A1">
            <w:pPr>
              <w:widowControl w:val="0"/>
              <w:pBdr>
                <w:top w:val="nil"/>
                <w:left w:val="nil"/>
                <w:bottom w:val="nil"/>
                <w:right w:val="nil"/>
                <w:between w:val="nil"/>
              </w:pBdr>
              <w:spacing w:line="240" w:lineRule="auto"/>
              <w:rPr>
                <w:color w:val="222222"/>
              </w:rPr>
            </w:pPr>
            <w:r w:rsidRPr="00080278">
              <w:rPr>
                <w:color w:val="222222"/>
              </w:rPr>
              <w:t>Section 3 – Application of the principle of materiality</w:t>
            </w:r>
          </w:p>
          <w:p w14:paraId="51797348" w14:textId="77777777" w:rsidR="003B5FCC" w:rsidRPr="00080278" w:rsidRDefault="003B5FCC">
            <w:pPr>
              <w:widowControl w:val="0"/>
              <w:pBdr>
                <w:top w:val="nil"/>
                <w:left w:val="nil"/>
                <w:bottom w:val="nil"/>
                <w:right w:val="nil"/>
                <w:between w:val="nil"/>
              </w:pBdr>
              <w:spacing w:line="240" w:lineRule="auto"/>
              <w:rPr>
                <w:color w:val="222222"/>
              </w:rPr>
            </w:pPr>
          </w:p>
        </w:tc>
        <w:tc>
          <w:tcPr>
            <w:tcW w:w="6645" w:type="dxa"/>
            <w:shd w:val="clear" w:color="auto" w:fill="auto"/>
            <w:tcMar>
              <w:top w:w="100" w:type="dxa"/>
              <w:left w:w="100" w:type="dxa"/>
              <w:bottom w:w="100" w:type="dxa"/>
              <w:right w:w="100" w:type="dxa"/>
            </w:tcMar>
          </w:tcPr>
          <w:p w14:paraId="3B487171" w14:textId="67FCC7ED" w:rsidR="003B5FCC" w:rsidRPr="00352527" w:rsidRDefault="006A28A1" w:rsidP="00352527">
            <w:pPr>
              <w:pStyle w:val="ListParagraph"/>
              <w:widowControl w:val="0"/>
              <w:numPr>
                <w:ilvl w:val="0"/>
                <w:numId w:val="3"/>
              </w:numPr>
              <w:pBdr>
                <w:top w:val="nil"/>
                <w:left w:val="nil"/>
                <w:bottom w:val="nil"/>
                <w:right w:val="nil"/>
                <w:between w:val="nil"/>
              </w:pBdr>
              <w:spacing w:line="240" w:lineRule="auto"/>
              <w:rPr>
                <w:color w:val="222222"/>
              </w:rPr>
            </w:pPr>
            <w:r w:rsidRPr="00352527">
              <w:rPr>
                <w:color w:val="222222"/>
              </w:rPr>
              <w:t xml:space="preserve">Materiality as a principle should allow a reporting entity to determine the relevant and significant impacts to report and this should include all impacts that are material to all people (groups) that are affected by an </w:t>
            </w:r>
            <w:r w:rsidR="00080278" w:rsidRPr="00352527">
              <w:rPr>
                <w:color w:val="222222"/>
              </w:rPr>
              <w:t>entity’s</w:t>
            </w:r>
            <w:r w:rsidRPr="00352527">
              <w:rPr>
                <w:color w:val="222222"/>
              </w:rPr>
              <w:t xml:space="preserve"> activities.</w:t>
            </w:r>
          </w:p>
          <w:p w14:paraId="6534BF2F" w14:textId="77777777" w:rsidR="003B5FCC" w:rsidRPr="00080278" w:rsidRDefault="003B5FCC">
            <w:pPr>
              <w:widowControl w:val="0"/>
              <w:pBdr>
                <w:top w:val="nil"/>
                <w:left w:val="nil"/>
                <w:bottom w:val="nil"/>
                <w:right w:val="nil"/>
                <w:between w:val="nil"/>
              </w:pBdr>
              <w:spacing w:line="240" w:lineRule="auto"/>
              <w:rPr>
                <w:color w:val="222222"/>
              </w:rPr>
            </w:pPr>
          </w:p>
          <w:p w14:paraId="38A6C109" w14:textId="4E56ECCF" w:rsidR="003B5FCC" w:rsidRPr="00352527" w:rsidRDefault="00080278" w:rsidP="00352527">
            <w:pPr>
              <w:pStyle w:val="ListParagraph"/>
              <w:widowControl w:val="0"/>
              <w:numPr>
                <w:ilvl w:val="0"/>
                <w:numId w:val="3"/>
              </w:numPr>
              <w:pBdr>
                <w:top w:val="nil"/>
                <w:left w:val="nil"/>
                <w:bottom w:val="nil"/>
                <w:right w:val="nil"/>
                <w:between w:val="nil"/>
              </w:pBdr>
              <w:spacing w:line="240" w:lineRule="auto"/>
              <w:rPr>
                <w:color w:val="222222"/>
              </w:rPr>
            </w:pPr>
            <w:r w:rsidRPr="00352527">
              <w:rPr>
                <w:color w:val="222222"/>
              </w:rPr>
              <w:t>The</w:t>
            </w:r>
            <w:r w:rsidR="006A28A1" w:rsidRPr="00352527">
              <w:rPr>
                <w:color w:val="222222"/>
              </w:rPr>
              <w:t xml:space="preserve"> definition </w:t>
            </w:r>
            <w:r w:rsidR="00352527">
              <w:rPr>
                <w:color w:val="222222"/>
              </w:rPr>
              <w:t xml:space="preserve">included </w:t>
            </w:r>
            <w:r w:rsidR="006A28A1" w:rsidRPr="00352527">
              <w:rPr>
                <w:color w:val="222222"/>
              </w:rPr>
              <w:t xml:space="preserve">is fine but needs to be applied with the revised assumption that investors want/need information </w:t>
            </w:r>
            <w:r w:rsidR="00352527">
              <w:rPr>
                <w:color w:val="222222"/>
              </w:rPr>
              <w:t xml:space="preserve">about impacts </w:t>
            </w:r>
            <w:r w:rsidR="006A28A1" w:rsidRPr="00352527">
              <w:rPr>
                <w:color w:val="222222"/>
              </w:rPr>
              <w:t xml:space="preserve">that </w:t>
            </w:r>
            <w:r w:rsidR="00352527">
              <w:rPr>
                <w:color w:val="222222"/>
              </w:rPr>
              <w:t>are</w:t>
            </w:r>
            <w:r w:rsidR="006A28A1" w:rsidRPr="00352527">
              <w:rPr>
                <w:color w:val="222222"/>
              </w:rPr>
              <w:t xml:space="preserve"> material to people and the environment (</w:t>
            </w:r>
            <w:r w:rsidRPr="00352527">
              <w:rPr>
                <w:color w:val="222222"/>
              </w:rPr>
              <w:t>non-financial</w:t>
            </w:r>
            <w:r w:rsidR="006A28A1" w:rsidRPr="00352527">
              <w:rPr>
                <w:color w:val="222222"/>
              </w:rPr>
              <w:t xml:space="preserve">) </w:t>
            </w:r>
            <w:r w:rsidR="00352527" w:rsidRPr="00352527">
              <w:rPr>
                <w:color w:val="222222"/>
              </w:rPr>
              <w:t>to</w:t>
            </w:r>
            <w:r w:rsidR="006A28A1" w:rsidRPr="00352527">
              <w:rPr>
                <w:color w:val="222222"/>
              </w:rPr>
              <w:t xml:space="preserve"> make their decisions. If we shift this ‘starting point’ for </w:t>
            </w:r>
            <w:r w:rsidRPr="00352527">
              <w:rPr>
                <w:color w:val="222222"/>
              </w:rPr>
              <w:t>investors,</w:t>
            </w:r>
            <w:r w:rsidR="006A28A1" w:rsidRPr="00352527">
              <w:rPr>
                <w:color w:val="222222"/>
              </w:rPr>
              <w:t xml:space="preserve"> then we do not have to create multi stakeholder reporting or </w:t>
            </w:r>
            <w:r w:rsidR="00352527">
              <w:rPr>
                <w:color w:val="222222"/>
              </w:rPr>
              <w:t xml:space="preserve">dual </w:t>
            </w:r>
            <w:r w:rsidR="006A28A1" w:rsidRPr="00352527">
              <w:rPr>
                <w:color w:val="222222"/>
              </w:rPr>
              <w:t>materiality perspectives.</w:t>
            </w:r>
          </w:p>
          <w:p w14:paraId="2288B8E6" w14:textId="77777777" w:rsidR="003B5FCC" w:rsidRPr="00080278" w:rsidRDefault="003B5FCC" w:rsidP="00080278">
            <w:pPr>
              <w:widowControl w:val="0"/>
              <w:spacing w:line="240" w:lineRule="auto"/>
              <w:rPr>
                <w:color w:val="222222"/>
                <w:highlight w:val="yellow"/>
              </w:rPr>
            </w:pPr>
          </w:p>
        </w:tc>
      </w:tr>
      <w:tr w:rsidR="003B5FCC" w:rsidRPr="00080278" w14:paraId="7D97B519" w14:textId="77777777">
        <w:tc>
          <w:tcPr>
            <w:tcW w:w="2715" w:type="dxa"/>
            <w:shd w:val="clear" w:color="auto" w:fill="auto"/>
            <w:tcMar>
              <w:top w:w="100" w:type="dxa"/>
              <w:left w:w="100" w:type="dxa"/>
              <w:bottom w:w="100" w:type="dxa"/>
              <w:right w:w="100" w:type="dxa"/>
            </w:tcMar>
          </w:tcPr>
          <w:p w14:paraId="540A75D0" w14:textId="77777777" w:rsidR="003B5FCC" w:rsidRPr="00080278" w:rsidRDefault="006A28A1">
            <w:pPr>
              <w:widowControl w:val="0"/>
              <w:pBdr>
                <w:top w:val="nil"/>
                <w:left w:val="nil"/>
                <w:bottom w:val="nil"/>
                <w:right w:val="nil"/>
                <w:between w:val="nil"/>
              </w:pBdr>
              <w:spacing w:line="240" w:lineRule="auto"/>
              <w:rPr>
                <w:color w:val="222222"/>
              </w:rPr>
            </w:pPr>
            <w:r w:rsidRPr="00080278">
              <w:rPr>
                <w:color w:val="222222"/>
              </w:rPr>
              <w:t>Section 4 – Assurance</w:t>
            </w:r>
          </w:p>
          <w:p w14:paraId="30569E61" w14:textId="77777777" w:rsidR="003B5FCC" w:rsidRPr="00080278" w:rsidRDefault="003B5FCC">
            <w:pPr>
              <w:widowControl w:val="0"/>
              <w:pBdr>
                <w:top w:val="nil"/>
                <w:left w:val="nil"/>
                <w:bottom w:val="nil"/>
                <w:right w:val="nil"/>
                <w:between w:val="nil"/>
              </w:pBdr>
              <w:spacing w:line="240" w:lineRule="auto"/>
              <w:rPr>
                <w:color w:val="222222"/>
              </w:rPr>
            </w:pPr>
          </w:p>
        </w:tc>
        <w:tc>
          <w:tcPr>
            <w:tcW w:w="6645" w:type="dxa"/>
            <w:shd w:val="clear" w:color="auto" w:fill="auto"/>
            <w:tcMar>
              <w:top w:w="100" w:type="dxa"/>
              <w:left w:w="100" w:type="dxa"/>
              <w:bottom w:w="100" w:type="dxa"/>
              <w:right w:w="100" w:type="dxa"/>
            </w:tcMar>
          </w:tcPr>
          <w:p w14:paraId="0606C5B6" w14:textId="0813E648" w:rsidR="003B5FCC" w:rsidRPr="00352527" w:rsidRDefault="006A28A1" w:rsidP="00352527">
            <w:pPr>
              <w:pStyle w:val="ListParagraph"/>
              <w:widowControl w:val="0"/>
              <w:numPr>
                <w:ilvl w:val="0"/>
                <w:numId w:val="4"/>
              </w:numPr>
              <w:pBdr>
                <w:top w:val="nil"/>
                <w:left w:val="nil"/>
                <w:bottom w:val="nil"/>
                <w:right w:val="nil"/>
                <w:between w:val="nil"/>
              </w:pBdr>
              <w:spacing w:line="240" w:lineRule="auto"/>
              <w:rPr>
                <w:color w:val="222222"/>
              </w:rPr>
            </w:pPr>
            <w:r w:rsidRPr="00352527">
              <w:rPr>
                <w:color w:val="222222"/>
              </w:rPr>
              <w:t xml:space="preserve">Assurance is essential for non-financial information for it to become useful in decision making. </w:t>
            </w:r>
            <w:r w:rsidR="00080278" w:rsidRPr="00352527">
              <w:rPr>
                <w:color w:val="222222"/>
              </w:rPr>
              <w:t xml:space="preserve">We </w:t>
            </w:r>
            <w:r w:rsidRPr="00352527">
              <w:rPr>
                <w:color w:val="222222"/>
              </w:rPr>
              <w:t xml:space="preserve">believe that </w:t>
            </w:r>
            <w:r w:rsidR="00FA19CB">
              <w:rPr>
                <w:color w:val="222222"/>
              </w:rPr>
              <w:t>non-</w:t>
            </w:r>
            <w:r w:rsidRPr="00352527">
              <w:rPr>
                <w:color w:val="222222"/>
              </w:rPr>
              <w:t>financial information should be given the same level of scrutiny as financial information.</w:t>
            </w:r>
          </w:p>
          <w:p w14:paraId="4CDB7BC2" w14:textId="77777777" w:rsidR="003B5FCC" w:rsidRPr="00080278" w:rsidRDefault="003B5FCC">
            <w:pPr>
              <w:widowControl w:val="0"/>
              <w:pBdr>
                <w:top w:val="nil"/>
                <w:left w:val="nil"/>
                <w:bottom w:val="nil"/>
                <w:right w:val="nil"/>
                <w:between w:val="nil"/>
              </w:pBdr>
              <w:spacing w:line="240" w:lineRule="auto"/>
              <w:rPr>
                <w:color w:val="222222"/>
              </w:rPr>
            </w:pPr>
          </w:p>
          <w:p w14:paraId="72ED09BA" w14:textId="7C5EB839" w:rsidR="003B5FCC" w:rsidRPr="00352527" w:rsidRDefault="006A28A1" w:rsidP="00352527">
            <w:pPr>
              <w:pStyle w:val="ListParagraph"/>
              <w:widowControl w:val="0"/>
              <w:numPr>
                <w:ilvl w:val="0"/>
                <w:numId w:val="4"/>
              </w:numPr>
              <w:pBdr>
                <w:top w:val="nil"/>
                <w:left w:val="nil"/>
                <w:bottom w:val="nil"/>
                <w:right w:val="nil"/>
                <w:between w:val="nil"/>
              </w:pBdr>
              <w:spacing w:line="240" w:lineRule="auto"/>
              <w:rPr>
                <w:color w:val="222222"/>
              </w:rPr>
            </w:pPr>
            <w:r w:rsidRPr="00352527">
              <w:rPr>
                <w:color w:val="222222"/>
              </w:rPr>
              <w:t>S</w:t>
            </w:r>
            <w:r w:rsidR="00080278" w:rsidRPr="00352527">
              <w:rPr>
                <w:color w:val="222222"/>
              </w:rPr>
              <w:t xml:space="preserve">ocial </w:t>
            </w:r>
            <w:r w:rsidRPr="00352527">
              <w:rPr>
                <w:color w:val="222222"/>
              </w:rPr>
              <w:t>V</w:t>
            </w:r>
            <w:r w:rsidR="00080278" w:rsidRPr="00352527">
              <w:rPr>
                <w:color w:val="222222"/>
              </w:rPr>
              <w:t xml:space="preserve">alue </w:t>
            </w:r>
            <w:r w:rsidRPr="00352527">
              <w:rPr>
                <w:color w:val="222222"/>
              </w:rPr>
              <w:t>I</w:t>
            </w:r>
            <w:r w:rsidR="00080278" w:rsidRPr="00352527">
              <w:rPr>
                <w:color w:val="222222"/>
              </w:rPr>
              <w:t>nternational</w:t>
            </w:r>
            <w:r w:rsidRPr="00352527">
              <w:rPr>
                <w:color w:val="222222"/>
              </w:rPr>
              <w:t xml:space="preserve"> have a report assurance standard</w:t>
            </w:r>
            <w:r w:rsidR="00352527">
              <w:rPr>
                <w:rStyle w:val="FootnoteReference"/>
                <w:color w:val="222222"/>
              </w:rPr>
              <w:footnoteReference w:id="1"/>
            </w:r>
            <w:r w:rsidRPr="00352527">
              <w:rPr>
                <w:color w:val="222222"/>
              </w:rPr>
              <w:t xml:space="preserve"> that could be used. It also has a governance structure that allows for constant development and refinement of the standard through consultation with members. Other assurance standards that exist are AA1000 and ISAE3000.</w:t>
            </w:r>
          </w:p>
          <w:p w14:paraId="7CCA7281" w14:textId="0FEA27AD" w:rsidR="003B5FCC" w:rsidRPr="00080278" w:rsidRDefault="003B5FCC">
            <w:pPr>
              <w:widowControl w:val="0"/>
              <w:pBdr>
                <w:top w:val="nil"/>
                <w:left w:val="nil"/>
                <w:bottom w:val="nil"/>
                <w:right w:val="nil"/>
                <w:between w:val="nil"/>
              </w:pBdr>
              <w:spacing w:line="240" w:lineRule="auto"/>
              <w:rPr>
                <w:color w:val="222222"/>
                <w:highlight w:val="yellow"/>
              </w:rPr>
            </w:pPr>
          </w:p>
        </w:tc>
      </w:tr>
      <w:tr w:rsidR="003B5FCC" w:rsidRPr="00080278" w14:paraId="4456479E" w14:textId="77777777">
        <w:tc>
          <w:tcPr>
            <w:tcW w:w="2715" w:type="dxa"/>
            <w:shd w:val="clear" w:color="auto" w:fill="auto"/>
            <w:tcMar>
              <w:top w:w="100" w:type="dxa"/>
              <w:left w:w="100" w:type="dxa"/>
              <w:bottom w:w="100" w:type="dxa"/>
              <w:right w:w="100" w:type="dxa"/>
            </w:tcMar>
          </w:tcPr>
          <w:p w14:paraId="400B7233" w14:textId="77777777" w:rsidR="003B5FCC" w:rsidRPr="00080278" w:rsidRDefault="006A28A1">
            <w:pPr>
              <w:widowControl w:val="0"/>
              <w:pBdr>
                <w:top w:val="nil"/>
                <w:left w:val="nil"/>
                <w:bottom w:val="nil"/>
                <w:right w:val="nil"/>
                <w:between w:val="nil"/>
              </w:pBdr>
              <w:spacing w:line="240" w:lineRule="auto"/>
              <w:rPr>
                <w:color w:val="222222"/>
              </w:rPr>
            </w:pPr>
            <w:r w:rsidRPr="00080278">
              <w:rPr>
                <w:color w:val="222222"/>
              </w:rPr>
              <w:t xml:space="preserve">Section 5 - </w:t>
            </w:r>
            <w:proofErr w:type="spellStart"/>
            <w:r w:rsidRPr="00080278">
              <w:rPr>
                <w:color w:val="222222"/>
              </w:rPr>
              <w:t>Digitisation</w:t>
            </w:r>
            <w:proofErr w:type="spellEnd"/>
          </w:p>
        </w:tc>
        <w:tc>
          <w:tcPr>
            <w:tcW w:w="6645" w:type="dxa"/>
            <w:shd w:val="clear" w:color="auto" w:fill="auto"/>
            <w:tcMar>
              <w:top w:w="100" w:type="dxa"/>
              <w:left w:w="100" w:type="dxa"/>
              <w:bottom w:w="100" w:type="dxa"/>
              <w:right w:w="100" w:type="dxa"/>
            </w:tcMar>
          </w:tcPr>
          <w:p w14:paraId="2E0BACA1" w14:textId="77777777" w:rsidR="00080278" w:rsidRPr="00080278" w:rsidRDefault="006A28A1" w:rsidP="00352527">
            <w:pPr>
              <w:pStyle w:val="ListParagraph"/>
              <w:numPr>
                <w:ilvl w:val="0"/>
                <w:numId w:val="5"/>
              </w:numPr>
              <w:spacing w:line="259" w:lineRule="auto"/>
            </w:pPr>
            <w:r w:rsidRPr="00080278">
              <w:t xml:space="preserve">Data should be published digitally using (multiple) data schemas that allow for interoperability of the data. these data schemas should be open source and data should be made available for transparency. </w:t>
            </w:r>
          </w:p>
          <w:p w14:paraId="480BEB2A" w14:textId="77777777" w:rsidR="00352527" w:rsidRPr="00352527" w:rsidRDefault="006A28A1" w:rsidP="00352527">
            <w:pPr>
              <w:pStyle w:val="ListParagraph"/>
              <w:numPr>
                <w:ilvl w:val="0"/>
                <w:numId w:val="5"/>
              </w:numPr>
              <w:spacing w:line="259" w:lineRule="auto"/>
              <w:rPr>
                <w:color w:val="222222"/>
              </w:rPr>
            </w:pPr>
            <w:r w:rsidRPr="00080278">
              <w:lastRenderedPageBreak/>
              <w:t xml:space="preserve">Care </w:t>
            </w:r>
            <w:r w:rsidR="00080278" w:rsidRPr="00080278">
              <w:t>should</w:t>
            </w:r>
            <w:r w:rsidRPr="00080278">
              <w:t xml:space="preserve"> be taken not to create one single repository of the data itself as this risks </w:t>
            </w:r>
            <w:proofErr w:type="spellStart"/>
            <w:r w:rsidRPr="00080278">
              <w:t>commercialisation</w:t>
            </w:r>
            <w:proofErr w:type="spellEnd"/>
            <w:r w:rsidRPr="00080278">
              <w:t xml:space="preserve"> of the data that should be a public good. </w:t>
            </w:r>
          </w:p>
          <w:p w14:paraId="1228DA95" w14:textId="4D6596F6" w:rsidR="003B5FCC" w:rsidRPr="00352527" w:rsidRDefault="00352527" w:rsidP="00352527">
            <w:pPr>
              <w:pStyle w:val="ListParagraph"/>
              <w:numPr>
                <w:ilvl w:val="0"/>
                <w:numId w:val="5"/>
              </w:numPr>
              <w:spacing w:line="259" w:lineRule="auto"/>
              <w:rPr>
                <w:color w:val="222222"/>
              </w:rPr>
            </w:pPr>
            <w:r>
              <w:t>O</w:t>
            </w:r>
            <w:r w:rsidR="006A28A1" w:rsidRPr="00080278">
              <w:t xml:space="preserve">ne single repository for </w:t>
            </w:r>
            <w:proofErr w:type="gramStart"/>
            <w:r w:rsidR="006A28A1" w:rsidRPr="00080278">
              <w:t>all of</w:t>
            </w:r>
            <w:proofErr w:type="gramEnd"/>
            <w:r w:rsidR="006A28A1" w:rsidRPr="00080278">
              <w:t xml:space="preserve"> the different data schemas is recommended.</w:t>
            </w:r>
            <w:r>
              <w:t xml:space="preserve"> The global value exchange</w:t>
            </w:r>
            <w:r>
              <w:rPr>
                <w:rStyle w:val="FootnoteReference"/>
              </w:rPr>
              <w:footnoteReference w:id="2"/>
            </w:r>
            <w:r>
              <w:t xml:space="preserve"> is an open source web platform that could provide this function as a public good for example.</w:t>
            </w:r>
          </w:p>
        </w:tc>
      </w:tr>
      <w:tr w:rsidR="003B5FCC" w:rsidRPr="00080278" w14:paraId="305D098C" w14:textId="77777777">
        <w:tc>
          <w:tcPr>
            <w:tcW w:w="2715" w:type="dxa"/>
            <w:shd w:val="clear" w:color="auto" w:fill="auto"/>
            <w:tcMar>
              <w:top w:w="100" w:type="dxa"/>
              <w:left w:w="100" w:type="dxa"/>
              <w:bottom w:w="100" w:type="dxa"/>
              <w:right w:w="100" w:type="dxa"/>
            </w:tcMar>
          </w:tcPr>
          <w:p w14:paraId="3D0648CC" w14:textId="77777777" w:rsidR="003B5FCC" w:rsidRPr="00080278" w:rsidRDefault="006A28A1">
            <w:pPr>
              <w:widowControl w:val="0"/>
              <w:spacing w:line="240" w:lineRule="auto"/>
              <w:rPr>
                <w:color w:val="222222"/>
              </w:rPr>
            </w:pPr>
            <w:r w:rsidRPr="00080278">
              <w:rPr>
                <w:color w:val="222222"/>
              </w:rPr>
              <w:t>Section 6 – Structure and location of non-financial information</w:t>
            </w:r>
          </w:p>
        </w:tc>
        <w:tc>
          <w:tcPr>
            <w:tcW w:w="6645" w:type="dxa"/>
            <w:shd w:val="clear" w:color="auto" w:fill="auto"/>
            <w:tcMar>
              <w:top w:w="100" w:type="dxa"/>
              <w:left w:w="100" w:type="dxa"/>
              <w:bottom w:w="100" w:type="dxa"/>
              <w:right w:w="100" w:type="dxa"/>
            </w:tcMar>
          </w:tcPr>
          <w:p w14:paraId="35239021" w14:textId="77777777" w:rsidR="003B5FCC" w:rsidRPr="00352527" w:rsidRDefault="006A28A1" w:rsidP="00352527">
            <w:pPr>
              <w:pStyle w:val="ListParagraph"/>
              <w:widowControl w:val="0"/>
              <w:numPr>
                <w:ilvl w:val="0"/>
                <w:numId w:val="6"/>
              </w:numPr>
              <w:pBdr>
                <w:top w:val="nil"/>
                <w:left w:val="nil"/>
                <w:bottom w:val="nil"/>
                <w:right w:val="nil"/>
                <w:between w:val="nil"/>
              </w:pBdr>
              <w:spacing w:line="240" w:lineRule="auto"/>
              <w:rPr>
                <w:color w:val="222222"/>
              </w:rPr>
            </w:pPr>
            <w:r w:rsidRPr="00352527">
              <w:rPr>
                <w:color w:val="222222"/>
              </w:rPr>
              <w:t>The non-financial reporting should be integrated with the financial information as much as possible. Any segregation into different reports dilutes the effect it has on decision making.</w:t>
            </w:r>
          </w:p>
        </w:tc>
      </w:tr>
      <w:tr w:rsidR="003B5FCC" w:rsidRPr="00080278" w14:paraId="24302A77" w14:textId="77777777">
        <w:tc>
          <w:tcPr>
            <w:tcW w:w="2715" w:type="dxa"/>
            <w:shd w:val="clear" w:color="auto" w:fill="auto"/>
            <w:tcMar>
              <w:top w:w="100" w:type="dxa"/>
              <w:left w:w="100" w:type="dxa"/>
              <w:bottom w:w="100" w:type="dxa"/>
              <w:right w:w="100" w:type="dxa"/>
            </w:tcMar>
          </w:tcPr>
          <w:p w14:paraId="7C44053D" w14:textId="1CC32D98" w:rsidR="003B5FCC" w:rsidRPr="00080278" w:rsidRDefault="00352527">
            <w:pPr>
              <w:widowControl w:val="0"/>
              <w:pBdr>
                <w:top w:val="nil"/>
                <w:left w:val="nil"/>
                <w:bottom w:val="nil"/>
                <w:right w:val="nil"/>
                <w:between w:val="nil"/>
              </w:pBdr>
              <w:spacing w:line="240" w:lineRule="auto"/>
              <w:rPr>
                <w:color w:val="222222"/>
              </w:rPr>
            </w:pPr>
            <w:r>
              <w:rPr>
                <w:color w:val="222222"/>
              </w:rPr>
              <w:t>Section 7 – Personal Scope</w:t>
            </w:r>
          </w:p>
        </w:tc>
        <w:tc>
          <w:tcPr>
            <w:tcW w:w="6645" w:type="dxa"/>
            <w:shd w:val="clear" w:color="auto" w:fill="auto"/>
            <w:tcMar>
              <w:top w:w="100" w:type="dxa"/>
              <w:left w:w="100" w:type="dxa"/>
              <w:bottom w:w="100" w:type="dxa"/>
              <w:right w:w="100" w:type="dxa"/>
            </w:tcMar>
          </w:tcPr>
          <w:p w14:paraId="5889FD01" w14:textId="77777777" w:rsidR="003B5FCC" w:rsidRPr="00080278" w:rsidRDefault="003B5FCC">
            <w:pPr>
              <w:widowControl w:val="0"/>
              <w:pBdr>
                <w:top w:val="nil"/>
                <w:left w:val="nil"/>
                <w:bottom w:val="nil"/>
                <w:right w:val="nil"/>
                <w:between w:val="nil"/>
              </w:pBdr>
              <w:spacing w:line="240" w:lineRule="auto"/>
              <w:rPr>
                <w:color w:val="222222"/>
              </w:rPr>
            </w:pPr>
          </w:p>
          <w:p w14:paraId="2EE50CFE" w14:textId="3A26945D" w:rsidR="003B5FCC" w:rsidRPr="00352527" w:rsidRDefault="006A28A1" w:rsidP="00352527">
            <w:pPr>
              <w:pStyle w:val="ListParagraph"/>
              <w:widowControl w:val="0"/>
              <w:numPr>
                <w:ilvl w:val="0"/>
                <w:numId w:val="6"/>
              </w:numPr>
              <w:pBdr>
                <w:top w:val="nil"/>
                <w:left w:val="nil"/>
                <w:bottom w:val="nil"/>
                <w:right w:val="nil"/>
                <w:between w:val="nil"/>
              </w:pBdr>
              <w:spacing w:line="240" w:lineRule="auto"/>
              <w:rPr>
                <w:color w:val="222222"/>
              </w:rPr>
            </w:pPr>
            <w:r w:rsidRPr="00352527">
              <w:rPr>
                <w:color w:val="222222"/>
              </w:rPr>
              <w:t>National competent</w:t>
            </w:r>
            <w:r w:rsidR="00080278" w:rsidRPr="00352527">
              <w:rPr>
                <w:color w:val="222222"/>
              </w:rPr>
              <w:t xml:space="preserve"> would be appropriate to regulate </w:t>
            </w:r>
            <w:r w:rsidRPr="00352527">
              <w:rPr>
                <w:color w:val="222222"/>
              </w:rPr>
              <w:t xml:space="preserve">but requires competency to be defined as in competent to assess materiality, outcomes, </w:t>
            </w:r>
            <w:proofErr w:type="gramStart"/>
            <w:r w:rsidRPr="00352527">
              <w:rPr>
                <w:color w:val="222222"/>
              </w:rPr>
              <w:t>stakeholders</w:t>
            </w:r>
            <w:proofErr w:type="gramEnd"/>
            <w:r w:rsidRPr="00352527">
              <w:rPr>
                <w:color w:val="222222"/>
              </w:rPr>
              <w:t xml:space="preserve"> </w:t>
            </w:r>
            <w:r w:rsidR="00080278" w:rsidRPr="00352527">
              <w:rPr>
                <w:color w:val="222222"/>
              </w:rPr>
              <w:t>and impacts.</w:t>
            </w:r>
          </w:p>
        </w:tc>
      </w:tr>
    </w:tbl>
    <w:p w14:paraId="143CC838" w14:textId="77777777" w:rsidR="003B5FCC" w:rsidRDefault="003B5FCC">
      <w:pPr>
        <w:shd w:val="clear" w:color="auto" w:fill="FFFFFF"/>
        <w:rPr>
          <w:color w:val="222222"/>
        </w:rPr>
      </w:pPr>
    </w:p>
    <w:sectPr w:rsidR="003B5FC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583E" w14:textId="77777777" w:rsidR="007359C2" w:rsidRDefault="007359C2" w:rsidP="00EF005F">
      <w:pPr>
        <w:spacing w:line="240" w:lineRule="auto"/>
      </w:pPr>
      <w:r>
        <w:separator/>
      </w:r>
    </w:p>
  </w:endnote>
  <w:endnote w:type="continuationSeparator" w:id="0">
    <w:p w14:paraId="20850024" w14:textId="77777777" w:rsidR="007359C2" w:rsidRDefault="007359C2" w:rsidP="00EF0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AC47" w14:textId="77777777" w:rsidR="007359C2" w:rsidRDefault="007359C2" w:rsidP="00EF005F">
      <w:pPr>
        <w:spacing w:line="240" w:lineRule="auto"/>
      </w:pPr>
      <w:r>
        <w:separator/>
      </w:r>
    </w:p>
  </w:footnote>
  <w:footnote w:type="continuationSeparator" w:id="0">
    <w:p w14:paraId="57105896" w14:textId="77777777" w:rsidR="007359C2" w:rsidRDefault="007359C2" w:rsidP="00EF005F">
      <w:pPr>
        <w:spacing w:line="240" w:lineRule="auto"/>
      </w:pPr>
      <w:r>
        <w:continuationSeparator/>
      </w:r>
    </w:p>
  </w:footnote>
  <w:footnote w:id="1">
    <w:p w14:paraId="58CE6AB3" w14:textId="28FEBF03" w:rsidR="00352527" w:rsidRDefault="00352527">
      <w:pPr>
        <w:pStyle w:val="FootnoteText"/>
      </w:pPr>
      <w:r>
        <w:rPr>
          <w:rStyle w:val="FootnoteReference"/>
        </w:rPr>
        <w:footnoteRef/>
      </w:r>
      <w:r>
        <w:t xml:space="preserve"> </w:t>
      </w:r>
      <w:hyperlink r:id="rId1" w:history="1">
        <w:r>
          <w:rPr>
            <w:rStyle w:val="Hyperlink"/>
          </w:rPr>
          <w:t>https://socialvalueint.org/social-value/standards-and-guidance/report-assurance-standard-december-2017/</w:t>
        </w:r>
      </w:hyperlink>
    </w:p>
  </w:footnote>
  <w:footnote w:id="2">
    <w:p w14:paraId="074E6CB7" w14:textId="7D9CBC7C" w:rsidR="00352527" w:rsidRDefault="00352527">
      <w:pPr>
        <w:pStyle w:val="FootnoteText"/>
      </w:pPr>
      <w:r>
        <w:rPr>
          <w:rStyle w:val="FootnoteReference"/>
        </w:rPr>
        <w:footnoteRef/>
      </w:r>
      <w:r>
        <w:t xml:space="preserve"> </w:t>
      </w:r>
      <w:hyperlink r:id="rId2" w:history="1">
        <w:r w:rsidRPr="00B84A2B">
          <w:rPr>
            <w:rStyle w:val="Hyperlink"/>
          </w:rPr>
          <w:t>www.globalvaluexchange.org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B5D26"/>
    <w:multiLevelType w:val="hybridMultilevel"/>
    <w:tmpl w:val="8EA8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F6F"/>
    <w:multiLevelType w:val="hybridMultilevel"/>
    <w:tmpl w:val="36B6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8604E"/>
    <w:multiLevelType w:val="hybridMultilevel"/>
    <w:tmpl w:val="23B0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E31E3"/>
    <w:multiLevelType w:val="hybridMultilevel"/>
    <w:tmpl w:val="4F08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91BDC"/>
    <w:multiLevelType w:val="multilevel"/>
    <w:tmpl w:val="14543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7C63F87"/>
    <w:multiLevelType w:val="hybridMultilevel"/>
    <w:tmpl w:val="C8BE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CC"/>
    <w:rsid w:val="00080278"/>
    <w:rsid w:val="00352527"/>
    <w:rsid w:val="003B5FCC"/>
    <w:rsid w:val="006A2664"/>
    <w:rsid w:val="006A28A1"/>
    <w:rsid w:val="007359C2"/>
    <w:rsid w:val="009D17F2"/>
    <w:rsid w:val="00AB4C4A"/>
    <w:rsid w:val="00EF005F"/>
    <w:rsid w:val="00FA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4B44"/>
  <w15:docId w15:val="{E0F51385-2453-4A7C-A647-97C19675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00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5F"/>
    <w:rPr>
      <w:rFonts w:ascii="Segoe UI" w:hAnsi="Segoe UI" w:cs="Segoe UI"/>
      <w:sz w:val="18"/>
      <w:szCs w:val="18"/>
    </w:rPr>
  </w:style>
  <w:style w:type="paragraph" w:styleId="FootnoteText">
    <w:name w:val="footnote text"/>
    <w:basedOn w:val="Normal"/>
    <w:link w:val="FootnoteTextChar"/>
    <w:uiPriority w:val="99"/>
    <w:semiHidden/>
    <w:unhideWhenUsed/>
    <w:rsid w:val="00EF005F"/>
    <w:pPr>
      <w:spacing w:line="240" w:lineRule="auto"/>
    </w:pPr>
    <w:rPr>
      <w:rFonts w:ascii="Calibri" w:eastAsia="Calibri" w:hAnsi="Calibri" w:cs="Calibri"/>
      <w:sz w:val="20"/>
      <w:szCs w:val="20"/>
      <w:lang w:val="en-GB"/>
    </w:rPr>
  </w:style>
  <w:style w:type="character" w:customStyle="1" w:styleId="FootnoteTextChar">
    <w:name w:val="Footnote Text Char"/>
    <w:basedOn w:val="DefaultParagraphFont"/>
    <w:link w:val="FootnoteText"/>
    <w:uiPriority w:val="99"/>
    <w:semiHidden/>
    <w:rsid w:val="00EF005F"/>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EF005F"/>
    <w:rPr>
      <w:vertAlign w:val="superscript"/>
    </w:rPr>
  </w:style>
  <w:style w:type="paragraph" w:styleId="ListParagraph">
    <w:name w:val="List Paragraph"/>
    <w:basedOn w:val="Normal"/>
    <w:uiPriority w:val="34"/>
    <w:qFormat/>
    <w:rsid w:val="00352527"/>
    <w:pPr>
      <w:ind w:left="720"/>
      <w:contextualSpacing/>
    </w:pPr>
  </w:style>
  <w:style w:type="character" w:styleId="Hyperlink">
    <w:name w:val="Hyperlink"/>
    <w:basedOn w:val="DefaultParagraphFont"/>
    <w:uiPriority w:val="99"/>
    <w:unhideWhenUsed/>
    <w:rsid w:val="00352527"/>
    <w:rPr>
      <w:color w:val="0000FF"/>
      <w:u w:val="single"/>
    </w:rPr>
  </w:style>
  <w:style w:type="character" w:styleId="UnresolvedMention">
    <w:name w:val="Unresolved Mention"/>
    <w:basedOn w:val="DefaultParagraphFont"/>
    <w:uiPriority w:val="99"/>
    <w:semiHidden/>
    <w:unhideWhenUsed/>
    <w:rsid w:val="0035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925553">
      <w:bodyDiv w:val="1"/>
      <w:marLeft w:val="0"/>
      <w:marRight w:val="0"/>
      <w:marTop w:val="0"/>
      <w:marBottom w:val="0"/>
      <w:divBdr>
        <w:top w:val="none" w:sz="0" w:space="0" w:color="auto"/>
        <w:left w:val="none" w:sz="0" w:space="0" w:color="auto"/>
        <w:bottom w:val="none" w:sz="0" w:space="0" w:color="auto"/>
        <w:right w:val="none" w:sz="0" w:space="0" w:color="auto"/>
      </w:divBdr>
    </w:div>
    <w:div w:id="18265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lobalvaluexchange.org" TargetMode="External"/><Relationship Id="rId1" Type="http://schemas.openxmlformats.org/officeDocument/2006/relationships/hyperlink" Target="https://socialvalueint.org/social-value/standards-and-guidance/report-assurance-standard-decembe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6B20-B425-495F-8731-1E43D07E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Carpenter</cp:lastModifiedBy>
  <cp:revision>2</cp:revision>
  <dcterms:created xsi:type="dcterms:W3CDTF">2020-06-11T18:34:00Z</dcterms:created>
  <dcterms:modified xsi:type="dcterms:W3CDTF">2020-06-11T18:34:00Z</dcterms:modified>
</cp:coreProperties>
</file>